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594" w:lineRule="exact"/>
        <w:jc w:val="center"/>
        <w:rPr>
          <w:rFonts w:eastAsia="方正小标宋简体"/>
          <w:color w:val="000000"/>
          <w:sz w:val="32"/>
          <w:szCs w:val="32"/>
        </w:rPr>
      </w:pPr>
      <w:r>
        <w:rPr>
          <w:rFonts w:hint="eastAsia" w:eastAsia="方正小标宋简体"/>
          <w:color w:val="000000"/>
          <w:sz w:val="32"/>
          <w:szCs w:val="32"/>
        </w:rPr>
        <w:t>竹木餐饮具</w:t>
      </w:r>
      <w:r>
        <w:rPr>
          <w:rFonts w:eastAsia="方正小标宋简体"/>
          <w:color w:val="000000"/>
          <w:sz w:val="32"/>
          <w:szCs w:val="32"/>
        </w:rPr>
        <w:t>产品质量国家监督抽查实施细则</w:t>
      </w:r>
    </w:p>
    <w:p>
      <w:pPr>
        <w:spacing w:line="440" w:lineRule="exact"/>
        <w:jc w:val="center"/>
        <w:rPr>
          <w:rFonts w:eastAsia="方正小标宋简体" w:cs="方正仿宋简体"/>
          <w:color w:val="000000"/>
          <w:sz w:val="32"/>
          <w:szCs w:val="32"/>
        </w:rPr>
      </w:pPr>
      <w:r>
        <w:rPr>
          <w:rFonts w:hint="eastAsia" w:eastAsia="方正小标宋简体" w:cs="方正仿宋简体"/>
          <w:color w:val="000000"/>
          <w:sz w:val="32"/>
          <w:szCs w:val="32"/>
        </w:rPr>
        <w:t>（202</w:t>
      </w:r>
      <w:r>
        <w:rPr>
          <w:rFonts w:eastAsia="方正小标宋简体" w:cs="方正仿宋简体"/>
          <w:color w:val="000000"/>
          <w:sz w:val="32"/>
          <w:szCs w:val="32"/>
        </w:rPr>
        <w:t>3</w:t>
      </w:r>
      <w:r>
        <w:rPr>
          <w:rFonts w:hint="eastAsia" w:eastAsia="方正小标宋简体" w:cs="方正仿宋简体"/>
          <w:color w:val="000000"/>
          <w:sz w:val="32"/>
          <w:szCs w:val="32"/>
        </w:rPr>
        <w:t>年版）</w:t>
      </w:r>
    </w:p>
    <w:p>
      <w:pPr>
        <w:spacing w:line="440" w:lineRule="exact"/>
        <w:jc w:val="center"/>
        <w:rPr>
          <w:rFonts w:hint="eastAsia" w:eastAsia="方正小标宋简体" w:cs="方正仿宋简体"/>
          <w:color w:val="000000"/>
          <w:sz w:val="32"/>
          <w:szCs w:val="32"/>
        </w:rPr>
      </w:pPr>
      <w:r>
        <w:rPr>
          <w:rFonts w:hint="eastAsia" w:eastAsia="方正小标宋简体" w:cs="方正仿宋简体"/>
          <w:color w:val="000000"/>
          <w:sz w:val="32"/>
          <w:szCs w:val="32"/>
        </w:rPr>
        <w:t>（征求意</w:t>
      </w:r>
      <w:bookmarkStart w:id="3" w:name="_GoBack"/>
      <w:bookmarkEnd w:id="3"/>
      <w:r>
        <w:rPr>
          <w:rFonts w:hint="eastAsia" w:eastAsia="方正小标宋简体" w:cs="方正仿宋简体"/>
          <w:color w:val="000000"/>
          <w:sz w:val="32"/>
          <w:szCs w:val="32"/>
        </w:rPr>
        <w:t>见稿）</w:t>
      </w:r>
    </w:p>
    <w:p>
      <w:pPr>
        <w:adjustRightInd w:val="0"/>
        <w:snapToGrid w:val="0"/>
        <w:spacing w:line="594" w:lineRule="exact"/>
        <w:jc w:val="center"/>
        <w:rPr>
          <w:rFonts w:eastAsia="方正小标宋简体"/>
          <w:color w:val="000000"/>
          <w:sz w:val="32"/>
          <w:szCs w:val="32"/>
        </w:rPr>
      </w:pPr>
    </w:p>
    <w:p>
      <w:pPr>
        <w:snapToGrid w:val="0"/>
        <w:spacing w:line="440" w:lineRule="exact"/>
        <w:outlineLvl w:val="0"/>
        <w:rPr>
          <w:rFonts w:eastAsia="黑体"/>
          <w:color w:val="000000"/>
        </w:rPr>
      </w:pPr>
      <w:r>
        <w:rPr>
          <w:rFonts w:eastAsia="黑体"/>
          <w:color w:val="000000"/>
        </w:rPr>
        <w:t>1 抽样方法</w:t>
      </w:r>
    </w:p>
    <w:p>
      <w:pPr>
        <w:snapToGrid w:val="0"/>
        <w:spacing w:line="440" w:lineRule="exact"/>
        <w:ind w:firstLine="420" w:firstLineChars="200"/>
        <w:rPr>
          <w:color w:val="000000"/>
        </w:rPr>
      </w:pPr>
      <w:r>
        <w:rPr>
          <w:color w:val="000000"/>
        </w:rPr>
        <w:t>以随机抽样的方式在被抽样生产者、销售者的待销产品中抽取。</w:t>
      </w:r>
    </w:p>
    <w:p>
      <w:pPr>
        <w:snapToGrid w:val="0"/>
        <w:spacing w:line="440" w:lineRule="exact"/>
        <w:ind w:firstLine="420" w:firstLineChars="200"/>
        <w:rPr>
          <w:color w:val="000000"/>
        </w:rPr>
      </w:pPr>
      <w:r>
        <w:rPr>
          <w:color w:val="000000"/>
        </w:rPr>
        <w:t>随机数一般可使用随机数表等方法产生。</w:t>
      </w:r>
    </w:p>
    <w:p>
      <w:pPr>
        <w:snapToGrid w:val="0"/>
        <w:spacing w:line="440" w:lineRule="exact"/>
        <w:ind w:firstLine="420" w:firstLineChars="200"/>
        <w:rPr>
          <w:color w:val="000000"/>
        </w:rPr>
      </w:pPr>
      <w:r>
        <w:rPr>
          <w:rFonts w:hint="eastAsia"/>
        </w:rPr>
        <w:t>筷子：</w:t>
      </w:r>
      <w:r>
        <w:t>每批次产品抽取样品200双，其中100双作为检验样品，100双作为备用样品。</w:t>
      </w:r>
    </w:p>
    <w:p>
      <w:pPr>
        <w:snapToGrid w:val="0"/>
        <w:spacing w:line="440" w:lineRule="exact"/>
        <w:ind w:firstLine="420" w:firstLineChars="200"/>
        <w:rPr>
          <w:color w:val="000000"/>
        </w:rPr>
      </w:pPr>
      <w:r>
        <w:rPr>
          <w:rFonts w:hint="eastAsia"/>
          <w:color w:val="000000"/>
        </w:rPr>
        <w:t>其它产品：每批次产品抽取样品60个，其中40个作为检验样品，20个作为备用样品。</w:t>
      </w:r>
    </w:p>
    <w:p>
      <w:pPr>
        <w:snapToGrid w:val="0"/>
        <w:spacing w:line="440" w:lineRule="exact"/>
        <w:ind w:firstLine="420" w:firstLineChars="200"/>
        <w:rPr>
          <w:color w:val="000000"/>
        </w:rPr>
      </w:pPr>
    </w:p>
    <w:p>
      <w:pPr>
        <w:snapToGrid w:val="0"/>
        <w:spacing w:line="440" w:lineRule="exact"/>
        <w:outlineLvl w:val="0"/>
        <w:rPr>
          <w:rFonts w:eastAsia="黑体"/>
          <w:color w:val="000000"/>
        </w:rPr>
      </w:pPr>
      <w:r>
        <w:rPr>
          <w:rFonts w:eastAsia="黑体"/>
          <w:color w:val="000000"/>
        </w:rPr>
        <w:t>2 检验依据</w:t>
      </w:r>
    </w:p>
    <w:p>
      <w:pPr>
        <w:pStyle w:val="4"/>
        <w:tabs>
          <w:tab w:val="left" w:pos="6521"/>
        </w:tabs>
        <w:adjustRightInd w:val="0"/>
        <w:snapToGrid w:val="0"/>
        <w:spacing w:before="0" w:line="360" w:lineRule="auto"/>
        <w:ind w:left="0" w:firstLine="420" w:firstLineChars="200"/>
      </w:pPr>
    </w:p>
    <w:p>
      <w:pPr>
        <w:adjustRightInd w:val="0"/>
        <w:snapToGrid w:val="0"/>
        <w:spacing w:line="360" w:lineRule="auto"/>
        <w:jc w:val="center"/>
      </w:pPr>
    </w:p>
    <w:tbl>
      <w:tblPr>
        <w:tblStyle w:val="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9"/>
        <w:gridCol w:w="3440"/>
        <w:gridCol w:w="40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blHeader/>
          <w:jc w:val="center"/>
        </w:trPr>
        <w:tc>
          <w:tcPr>
            <w:tcW w:w="926" w:type="pct"/>
            <w:vMerge w:val="restart"/>
            <w:vAlign w:val="center"/>
          </w:tcPr>
          <w:p>
            <w:pPr>
              <w:adjustRightInd w:val="0"/>
              <w:snapToGrid w:val="0"/>
              <w:jc w:val="center"/>
            </w:pPr>
            <w:bookmarkStart w:id="0" w:name="_Hlk40347690"/>
            <w:r>
              <w:t>序号</w:t>
            </w:r>
          </w:p>
        </w:tc>
        <w:tc>
          <w:tcPr>
            <w:tcW w:w="1875" w:type="pct"/>
            <w:vMerge w:val="restart"/>
          </w:tcPr>
          <w:p>
            <w:pPr>
              <w:snapToGrid w:val="0"/>
              <w:spacing w:line="440" w:lineRule="exact"/>
              <w:jc w:val="center"/>
            </w:pPr>
            <w:r>
              <w:rPr>
                <w:color w:val="000000"/>
              </w:rPr>
              <w:t>检验项目</w:t>
            </w:r>
          </w:p>
        </w:tc>
        <w:tc>
          <w:tcPr>
            <w:tcW w:w="2199" w:type="pct"/>
            <w:vMerge w:val="restart"/>
          </w:tcPr>
          <w:p>
            <w:pPr>
              <w:snapToGrid w:val="0"/>
              <w:spacing w:line="440" w:lineRule="exact"/>
              <w:jc w:val="center"/>
            </w:pPr>
            <w:r>
              <w:rPr>
                <w:color w:val="000000"/>
              </w:rPr>
              <w:t>检验方法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blHeader/>
          <w:jc w:val="center"/>
        </w:trPr>
        <w:tc>
          <w:tcPr>
            <w:tcW w:w="926" w:type="pct"/>
            <w:vMerge w:val="continue"/>
          </w:tcPr>
          <w:p>
            <w:pPr>
              <w:adjustRightInd w:val="0"/>
              <w:snapToGrid w:val="0"/>
              <w:jc w:val="center"/>
            </w:pPr>
          </w:p>
        </w:tc>
        <w:tc>
          <w:tcPr>
            <w:tcW w:w="1875" w:type="pct"/>
            <w:vMerge w:val="continue"/>
            <w:vAlign w:val="center"/>
          </w:tcPr>
          <w:p>
            <w:pPr>
              <w:adjustRightInd w:val="0"/>
              <w:snapToGrid w:val="0"/>
            </w:pPr>
          </w:p>
        </w:tc>
        <w:tc>
          <w:tcPr>
            <w:tcW w:w="2199" w:type="pct"/>
            <w:vMerge w:val="continue"/>
            <w:vAlign w:val="center"/>
          </w:tcPr>
          <w:p>
            <w:pPr>
              <w:adjustRightInd w:val="0"/>
              <w:snapToGrid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926" w:type="pct"/>
            <w:vAlign w:val="center"/>
          </w:tcPr>
          <w:p>
            <w:pPr>
              <w:adjustRightInd w:val="0"/>
              <w:snapToGrid w:val="0"/>
              <w:jc w:val="center"/>
            </w:pPr>
            <w:r>
              <w:t>1</w:t>
            </w:r>
          </w:p>
        </w:tc>
        <w:tc>
          <w:tcPr>
            <w:tcW w:w="1875" w:type="pct"/>
            <w:vAlign w:val="center"/>
          </w:tcPr>
          <w:p>
            <w:pPr>
              <w:adjustRightInd w:val="0"/>
              <w:snapToGrid w:val="0"/>
              <w:jc w:val="center"/>
            </w:pPr>
            <w:r>
              <w:rPr>
                <w:rFonts w:hint="eastAsia"/>
              </w:rPr>
              <w:t>感官要求</w:t>
            </w:r>
          </w:p>
        </w:tc>
        <w:tc>
          <w:tcPr>
            <w:tcW w:w="2199" w:type="pct"/>
            <w:vAlign w:val="center"/>
          </w:tcPr>
          <w:p>
            <w:pPr>
              <w:adjustRightInd w:val="0"/>
              <w:snapToGrid w:val="0"/>
              <w:jc w:val="center"/>
            </w:pPr>
            <w:bookmarkStart w:id="1" w:name="OLE_LINK1"/>
            <w:r>
              <w:rPr>
                <w:rFonts w:hint="eastAsia"/>
              </w:rPr>
              <w:t>GB</w:t>
            </w:r>
            <w:r>
              <w:t xml:space="preserve"> 4806.12</w:t>
            </w:r>
            <w:bookmarkEnd w:id="1"/>
            <w:r>
              <w:rPr>
                <w:rFonts w:hint="eastAsia"/>
                <w:lang w:eastAsia="zh-CN"/>
              </w:rPr>
              <w:t>—</w:t>
            </w:r>
            <w:r>
              <w:t>2022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26" w:type="pct"/>
            <w:vAlign w:val="center"/>
          </w:tcPr>
          <w:p>
            <w:pPr>
              <w:adjustRightInd w:val="0"/>
              <w:snapToGrid w:val="0"/>
              <w:jc w:val="center"/>
            </w:pPr>
            <w:r>
              <w:t>2</w:t>
            </w:r>
          </w:p>
        </w:tc>
        <w:tc>
          <w:tcPr>
            <w:tcW w:w="1875" w:type="pct"/>
            <w:vAlign w:val="center"/>
          </w:tcPr>
          <w:p>
            <w:pPr>
              <w:adjustRightInd w:val="0"/>
              <w:snapToGrid w:val="0"/>
              <w:jc w:val="center"/>
            </w:pPr>
            <w:r>
              <w:rPr>
                <w:rFonts w:hint="eastAsia"/>
              </w:rPr>
              <w:t>总迁移量</w:t>
            </w:r>
          </w:p>
        </w:tc>
        <w:tc>
          <w:tcPr>
            <w:tcW w:w="2199" w:type="pct"/>
            <w:vAlign w:val="center"/>
          </w:tcPr>
          <w:p>
            <w:pPr>
              <w:adjustRightInd w:val="0"/>
              <w:snapToGrid w:val="0"/>
              <w:jc w:val="center"/>
            </w:pPr>
            <w:r>
              <w:rPr>
                <w:rFonts w:hint="eastAsia"/>
              </w:rPr>
              <w:t>GB</w:t>
            </w:r>
            <w:r>
              <w:t xml:space="preserve"> 31604.8</w:t>
            </w:r>
            <w:r>
              <w:rPr>
                <w:rFonts w:hint="eastAsia"/>
                <w:lang w:eastAsia="zh-CN"/>
              </w:rPr>
              <w:t>—</w:t>
            </w:r>
            <w:r>
              <w:t>2021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26" w:type="pct"/>
            <w:vAlign w:val="center"/>
          </w:tcPr>
          <w:p>
            <w:pPr>
              <w:adjustRightInd w:val="0"/>
              <w:snapToGrid w:val="0"/>
              <w:jc w:val="center"/>
            </w:pPr>
            <w:r>
              <w:t>3</w:t>
            </w:r>
          </w:p>
        </w:tc>
        <w:tc>
          <w:tcPr>
            <w:tcW w:w="1875" w:type="pct"/>
            <w:vAlign w:val="center"/>
          </w:tcPr>
          <w:p>
            <w:pPr>
              <w:adjustRightInd w:val="0"/>
              <w:snapToGrid w:val="0"/>
              <w:jc w:val="center"/>
            </w:pPr>
            <w:r>
              <w:rPr>
                <w:rFonts w:hint="eastAsia"/>
              </w:rPr>
              <w:t>甲醛</w:t>
            </w:r>
          </w:p>
        </w:tc>
        <w:tc>
          <w:tcPr>
            <w:tcW w:w="2199" w:type="pct"/>
            <w:vAlign w:val="center"/>
          </w:tcPr>
          <w:p>
            <w:pPr>
              <w:adjustRightInd w:val="0"/>
              <w:snapToGrid w:val="0"/>
              <w:jc w:val="center"/>
            </w:pPr>
            <w:r>
              <w:t>GB 31604.48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26" w:type="pct"/>
            <w:vAlign w:val="center"/>
          </w:tcPr>
          <w:p>
            <w:pPr>
              <w:adjustRightInd w:val="0"/>
              <w:snapToGrid w:val="0"/>
              <w:jc w:val="center"/>
            </w:pPr>
            <w:r>
              <w:t>4</w:t>
            </w:r>
          </w:p>
        </w:tc>
        <w:tc>
          <w:tcPr>
            <w:tcW w:w="1875" w:type="pct"/>
            <w:vAlign w:val="center"/>
          </w:tcPr>
          <w:p>
            <w:pPr>
              <w:adjustRightInd w:val="0"/>
              <w:snapToGrid w:val="0"/>
              <w:jc w:val="center"/>
            </w:pPr>
            <w:r>
              <w:rPr>
                <w:rFonts w:hint="eastAsia"/>
              </w:rPr>
              <w:t>二氧化硫</w:t>
            </w:r>
          </w:p>
        </w:tc>
        <w:tc>
          <w:tcPr>
            <w:tcW w:w="2199" w:type="pct"/>
            <w:vAlign w:val="center"/>
          </w:tcPr>
          <w:p>
            <w:pPr>
              <w:adjustRightInd w:val="0"/>
              <w:snapToGrid w:val="0"/>
              <w:jc w:val="center"/>
            </w:pPr>
            <w:r>
              <w:rPr>
                <w:rFonts w:hint="eastAsia"/>
              </w:rPr>
              <w:t>GB</w:t>
            </w:r>
            <w:r>
              <w:t xml:space="preserve"> 4806.12</w:t>
            </w:r>
            <w:r>
              <w:rPr>
                <w:rFonts w:hint="eastAsia"/>
                <w:lang w:eastAsia="zh-CN"/>
              </w:rPr>
              <w:t>—</w:t>
            </w:r>
            <w:r>
              <w:t>2022</w:t>
            </w:r>
          </w:p>
          <w:p>
            <w:pPr>
              <w:adjustRightInd w:val="0"/>
              <w:snapToGrid w:val="0"/>
              <w:jc w:val="center"/>
            </w:pPr>
            <w:r>
              <w:rPr>
                <w:rFonts w:hint="eastAsia"/>
              </w:rPr>
              <w:t>附录A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 w:hRule="atLeast"/>
          <w:jc w:val="center"/>
        </w:trPr>
        <w:tc>
          <w:tcPr>
            <w:tcW w:w="926" w:type="pct"/>
            <w:vAlign w:val="center"/>
          </w:tcPr>
          <w:p>
            <w:pPr>
              <w:adjustRightInd w:val="0"/>
              <w:snapToGrid w:val="0"/>
              <w:jc w:val="center"/>
            </w:pPr>
            <w:r>
              <w:t>5</w:t>
            </w:r>
          </w:p>
        </w:tc>
        <w:tc>
          <w:tcPr>
            <w:tcW w:w="1875" w:type="pct"/>
            <w:vAlign w:val="center"/>
          </w:tcPr>
          <w:p>
            <w:pPr>
              <w:adjustRightInd w:val="0"/>
              <w:snapToGrid w:val="0"/>
              <w:jc w:val="center"/>
            </w:pPr>
            <w:r>
              <w:rPr>
                <w:rFonts w:hint="eastAsia"/>
              </w:rPr>
              <w:t>五氯苯酚及其盐类（以五氯苯酚计）</w:t>
            </w:r>
          </w:p>
        </w:tc>
        <w:tc>
          <w:tcPr>
            <w:tcW w:w="2199" w:type="pct"/>
            <w:vAlign w:val="center"/>
          </w:tcPr>
          <w:p>
            <w:pPr>
              <w:adjustRightInd w:val="0"/>
              <w:snapToGrid w:val="0"/>
              <w:jc w:val="center"/>
            </w:pPr>
            <w:bookmarkStart w:id="2" w:name="OLE_LINK2"/>
            <w:r>
              <w:rPr>
                <w:rFonts w:hint="eastAsia"/>
              </w:rPr>
              <w:t>GB</w:t>
            </w:r>
            <w:r>
              <w:t xml:space="preserve"> 4806.12</w:t>
            </w:r>
            <w:r>
              <w:rPr>
                <w:rFonts w:hint="eastAsia"/>
                <w:lang w:eastAsia="zh-CN"/>
              </w:rPr>
              <w:t>—</w:t>
            </w:r>
            <w:r>
              <w:t>2022</w:t>
            </w:r>
          </w:p>
          <w:p>
            <w:pPr>
              <w:adjustRightInd w:val="0"/>
              <w:snapToGrid w:val="0"/>
              <w:jc w:val="center"/>
            </w:pPr>
            <w:r>
              <w:rPr>
                <w:rFonts w:hint="eastAsia"/>
              </w:rPr>
              <w:t>SN</w:t>
            </w:r>
            <w:r>
              <w:t>/T 2204</w:t>
            </w:r>
            <w:bookmarkEnd w:id="2"/>
            <w:r>
              <w:rPr>
                <w:rFonts w:hint="eastAsia"/>
                <w:lang w:eastAsia="zh-CN"/>
              </w:rPr>
              <w:t>—</w:t>
            </w:r>
            <w:r>
              <w:t>2015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926" w:type="pct"/>
            <w:vAlign w:val="center"/>
          </w:tcPr>
          <w:p>
            <w:pPr>
              <w:adjustRightInd w:val="0"/>
              <w:snapToGrid w:val="0"/>
              <w:jc w:val="center"/>
            </w:pPr>
            <w:r>
              <w:t>6</w:t>
            </w:r>
          </w:p>
        </w:tc>
        <w:tc>
          <w:tcPr>
            <w:tcW w:w="1875" w:type="pct"/>
            <w:vAlign w:val="center"/>
          </w:tcPr>
          <w:p>
            <w:pPr>
              <w:adjustRightInd w:val="0"/>
              <w:snapToGrid w:val="0"/>
              <w:jc w:val="center"/>
            </w:pPr>
            <w:r>
              <w:rPr>
                <w:rFonts w:hint="eastAsia"/>
              </w:rPr>
              <w:t>噻菌灵</w:t>
            </w:r>
          </w:p>
        </w:tc>
        <w:tc>
          <w:tcPr>
            <w:tcW w:w="2199" w:type="pct"/>
            <w:vAlign w:val="center"/>
          </w:tcPr>
          <w:p>
            <w:pPr>
              <w:adjustRightInd w:val="0"/>
              <w:snapToGrid w:val="0"/>
              <w:jc w:val="center"/>
            </w:pPr>
            <w:r>
              <w:rPr>
                <w:rFonts w:hint="eastAsia"/>
              </w:rPr>
              <w:t>GB</w:t>
            </w:r>
            <w:r>
              <w:t xml:space="preserve"> 4806.12</w:t>
            </w:r>
            <w:r>
              <w:rPr>
                <w:rFonts w:hint="eastAsia"/>
                <w:lang w:eastAsia="zh-CN"/>
              </w:rPr>
              <w:t>—</w:t>
            </w:r>
            <w:r>
              <w:t>2022</w:t>
            </w:r>
          </w:p>
          <w:p>
            <w:pPr>
              <w:adjustRightInd w:val="0"/>
              <w:snapToGrid w:val="0"/>
              <w:jc w:val="center"/>
            </w:pPr>
            <w:r>
              <w:rPr>
                <w:rFonts w:hint="eastAsia"/>
              </w:rPr>
              <w:t>附录B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jc w:val="center"/>
        </w:trPr>
        <w:tc>
          <w:tcPr>
            <w:tcW w:w="926" w:type="pct"/>
            <w:vAlign w:val="center"/>
          </w:tcPr>
          <w:p>
            <w:pPr>
              <w:adjustRightInd w:val="0"/>
              <w:snapToGrid w:val="0"/>
              <w:jc w:val="center"/>
            </w:pPr>
            <w:r>
              <w:t>7</w:t>
            </w:r>
          </w:p>
        </w:tc>
        <w:tc>
          <w:tcPr>
            <w:tcW w:w="1875" w:type="pct"/>
            <w:vAlign w:val="center"/>
          </w:tcPr>
          <w:p>
            <w:pPr>
              <w:adjustRightInd w:val="0"/>
              <w:snapToGrid w:val="0"/>
              <w:jc w:val="center"/>
            </w:pPr>
            <w:r>
              <w:rPr>
                <w:rFonts w:hint="eastAsia"/>
              </w:rPr>
              <w:t>邻苯基苯酚</w:t>
            </w:r>
          </w:p>
        </w:tc>
        <w:tc>
          <w:tcPr>
            <w:tcW w:w="2199" w:type="pct"/>
            <w:vAlign w:val="center"/>
          </w:tcPr>
          <w:p>
            <w:pPr>
              <w:adjustRightInd w:val="0"/>
              <w:snapToGrid w:val="0"/>
              <w:jc w:val="center"/>
            </w:pPr>
            <w:r>
              <w:rPr>
                <w:rFonts w:hint="eastAsia"/>
              </w:rPr>
              <w:t>GB</w:t>
            </w:r>
            <w:r>
              <w:t xml:space="preserve"> 4806.12</w:t>
            </w:r>
            <w:r>
              <w:rPr>
                <w:rFonts w:hint="eastAsia"/>
                <w:lang w:eastAsia="zh-CN"/>
              </w:rPr>
              <w:t>—</w:t>
            </w:r>
            <w:r>
              <w:t>2022</w:t>
            </w:r>
          </w:p>
          <w:p>
            <w:pPr>
              <w:adjustRightInd w:val="0"/>
              <w:snapToGrid w:val="0"/>
              <w:jc w:val="center"/>
            </w:pPr>
            <w:r>
              <w:rPr>
                <w:rFonts w:hint="eastAsia"/>
              </w:rPr>
              <w:t>附录B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jc w:val="center"/>
        </w:trPr>
        <w:tc>
          <w:tcPr>
            <w:tcW w:w="926" w:type="pct"/>
            <w:vAlign w:val="center"/>
          </w:tcPr>
          <w:p>
            <w:pPr>
              <w:adjustRightInd w:val="0"/>
              <w:snapToGrid w:val="0"/>
              <w:jc w:val="center"/>
            </w:pPr>
            <w:r>
              <w:t>8</w:t>
            </w:r>
          </w:p>
        </w:tc>
        <w:tc>
          <w:tcPr>
            <w:tcW w:w="1875" w:type="pct"/>
            <w:vAlign w:val="center"/>
          </w:tcPr>
          <w:p>
            <w:pPr>
              <w:adjustRightInd w:val="0"/>
              <w:snapToGrid w:val="0"/>
              <w:jc w:val="center"/>
            </w:pPr>
            <w:r>
              <w:rPr>
                <w:rFonts w:hint="eastAsia"/>
              </w:rPr>
              <w:t>抑霉唑</w:t>
            </w:r>
          </w:p>
        </w:tc>
        <w:tc>
          <w:tcPr>
            <w:tcW w:w="2199" w:type="pct"/>
            <w:vAlign w:val="center"/>
          </w:tcPr>
          <w:p>
            <w:pPr>
              <w:adjustRightInd w:val="0"/>
              <w:snapToGrid w:val="0"/>
              <w:jc w:val="center"/>
            </w:pPr>
            <w:r>
              <w:rPr>
                <w:rFonts w:hint="eastAsia"/>
              </w:rPr>
              <w:t>GB</w:t>
            </w:r>
            <w:r>
              <w:t xml:space="preserve"> 4806.12</w:t>
            </w:r>
            <w:r>
              <w:rPr>
                <w:rFonts w:hint="eastAsia"/>
                <w:lang w:eastAsia="zh-CN"/>
              </w:rPr>
              <w:t>—</w:t>
            </w:r>
            <w:r>
              <w:t>2022</w:t>
            </w:r>
          </w:p>
          <w:p>
            <w:pPr>
              <w:adjustRightInd w:val="0"/>
              <w:snapToGrid w:val="0"/>
              <w:jc w:val="center"/>
            </w:pPr>
            <w:r>
              <w:rPr>
                <w:rFonts w:hint="eastAsia"/>
              </w:rPr>
              <w:t>附录B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26" w:type="pct"/>
            <w:vAlign w:val="center"/>
          </w:tcPr>
          <w:p>
            <w:pPr>
              <w:adjustRightInd w:val="0"/>
              <w:snapToGrid w:val="0"/>
              <w:jc w:val="center"/>
            </w:pPr>
            <w:r>
              <w:t>9</w:t>
            </w:r>
          </w:p>
        </w:tc>
        <w:tc>
          <w:tcPr>
            <w:tcW w:w="1875" w:type="pct"/>
            <w:vAlign w:val="center"/>
          </w:tcPr>
          <w:p>
            <w:pPr>
              <w:adjustRightInd w:val="0"/>
              <w:snapToGrid w:val="0"/>
              <w:jc w:val="center"/>
            </w:pPr>
            <w:r>
              <w:rPr>
                <w:rFonts w:hint="eastAsia"/>
              </w:rPr>
              <w:t>联苯</w:t>
            </w:r>
          </w:p>
        </w:tc>
        <w:tc>
          <w:tcPr>
            <w:tcW w:w="2199" w:type="pct"/>
            <w:vAlign w:val="center"/>
          </w:tcPr>
          <w:p>
            <w:pPr>
              <w:adjustRightInd w:val="0"/>
              <w:snapToGrid w:val="0"/>
              <w:jc w:val="center"/>
            </w:pPr>
            <w:r>
              <w:rPr>
                <w:rFonts w:hint="eastAsia"/>
              </w:rPr>
              <w:t>GB</w:t>
            </w:r>
            <w:r>
              <w:t xml:space="preserve"> 4806.12</w:t>
            </w:r>
            <w:r>
              <w:rPr>
                <w:rFonts w:hint="eastAsia"/>
                <w:lang w:eastAsia="zh-CN"/>
              </w:rPr>
              <w:t>—</w:t>
            </w:r>
            <w:r>
              <w:t>2022</w:t>
            </w:r>
          </w:p>
          <w:p>
            <w:pPr>
              <w:adjustRightInd w:val="0"/>
              <w:snapToGrid w:val="0"/>
              <w:jc w:val="center"/>
            </w:pPr>
            <w:r>
              <w:rPr>
                <w:rFonts w:hint="eastAsia"/>
              </w:rPr>
              <w:t>附录B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26" w:type="pct"/>
            <w:vAlign w:val="center"/>
          </w:tcPr>
          <w:p>
            <w:pPr>
              <w:adjustRightInd w:val="0"/>
              <w:snapToGrid w:val="0"/>
              <w:jc w:val="center"/>
            </w:pPr>
            <w:r>
              <w:rPr>
                <w:rFonts w:hint="eastAsia"/>
              </w:rPr>
              <w:t>1</w:t>
            </w:r>
            <w:r>
              <w:t>0</w:t>
            </w:r>
          </w:p>
        </w:tc>
        <w:tc>
          <w:tcPr>
            <w:tcW w:w="1875" w:type="pct"/>
            <w:vAlign w:val="center"/>
          </w:tcPr>
          <w:p>
            <w:pPr>
              <w:adjustRightInd w:val="0"/>
              <w:snapToGrid w:val="0"/>
              <w:jc w:val="center"/>
            </w:pPr>
            <w:r>
              <w:rPr>
                <w:rFonts w:hint="eastAsia"/>
              </w:rPr>
              <w:t>大肠菌群</w:t>
            </w:r>
          </w:p>
        </w:tc>
        <w:tc>
          <w:tcPr>
            <w:tcW w:w="2199" w:type="pct"/>
            <w:vAlign w:val="center"/>
          </w:tcPr>
          <w:p>
            <w:pPr>
              <w:adjustRightInd w:val="0"/>
              <w:snapToGrid w:val="0"/>
              <w:jc w:val="center"/>
            </w:pPr>
            <w:r>
              <w:rPr>
                <w:rFonts w:hint="eastAsia"/>
              </w:rPr>
              <w:t>GB</w:t>
            </w:r>
            <w:r>
              <w:t xml:space="preserve"> 14934</w:t>
            </w:r>
            <w:r>
              <w:rPr>
                <w:rFonts w:hint="eastAsia"/>
                <w:lang w:eastAsia="zh-CN"/>
              </w:rPr>
              <w:t>—</w:t>
            </w:r>
            <w:r>
              <w:t>2016</w:t>
            </w:r>
          </w:p>
          <w:p>
            <w:pPr>
              <w:adjustRightInd w:val="0"/>
              <w:snapToGrid w:val="0"/>
              <w:jc w:val="center"/>
            </w:pPr>
            <w:r>
              <w:rPr>
                <w:rFonts w:hint="eastAsia"/>
              </w:rPr>
              <w:t>附录B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26" w:type="pct"/>
            <w:vAlign w:val="center"/>
          </w:tcPr>
          <w:p>
            <w:pPr>
              <w:adjustRightInd w:val="0"/>
              <w:snapToGrid w:val="0"/>
              <w:jc w:val="center"/>
            </w:pPr>
            <w:r>
              <w:rPr>
                <w:rFonts w:hint="eastAsia"/>
              </w:rPr>
              <w:t>1</w:t>
            </w:r>
            <w:r>
              <w:t>1</w:t>
            </w:r>
          </w:p>
        </w:tc>
        <w:tc>
          <w:tcPr>
            <w:tcW w:w="1875" w:type="pct"/>
            <w:vAlign w:val="center"/>
          </w:tcPr>
          <w:p>
            <w:pPr>
              <w:adjustRightInd w:val="0"/>
              <w:snapToGrid w:val="0"/>
              <w:jc w:val="center"/>
            </w:pPr>
            <w:r>
              <w:rPr>
                <w:rFonts w:hint="eastAsia"/>
              </w:rPr>
              <w:t>沙门氏菌</w:t>
            </w:r>
          </w:p>
        </w:tc>
        <w:tc>
          <w:tcPr>
            <w:tcW w:w="2199" w:type="pct"/>
            <w:vAlign w:val="center"/>
          </w:tcPr>
          <w:p>
            <w:pPr>
              <w:adjustRightInd w:val="0"/>
              <w:snapToGrid w:val="0"/>
              <w:jc w:val="center"/>
            </w:pPr>
            <w:r>
              <w:rPr>
                <w:rFonts w:hint="eastAsia"/>
              </w:rPr>
              <w:t>GB</w:t>
            </w:r>
            <w:r>
              <w:t xml:space="preserve"> 14934</w:t>
            </w:r>
            <w:r>
              <w:rPr>
                <w:rFonts w:hint="eastAsia"/>
                <w:lang w:eastAsia="zh-CN"/>
              </w:rPr>
              <w:t>—</w:t>
            </w:r>
            <w:r>
              <w:t>2016</w:t>
            </w:r>
          </w:p>
          <w:p>
            <w:pPr>
              <w:adjustRightInd w:val="0"/>
              <w:snapToGrid w:val="0"/>
              <w:jc w:val="center"/>
            </w:pPr>
            <w:r>
              <w:rPr>
                <w:rFonts w:hint="eastAsia"/>
              </w:rPr>
              <w:t>附录C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26" w:type="pct"/>
            <w:vAlign w:val="center"/>
          </w:tcPr>
          <w:p>
            <w:pPr>
              <w:adjustRightInd w:val="0"/>
              <w:snapToGrid w:val="0"/>
              <w:jc w:val="center"/>
            </w:pPr>
            <w:r>
              <w:rPr>
                <w:rFonts w:hint="eastAsia"/>
              </w:rPr>
              <w:t>1</w:t>
            </w:r>
            <w:r>
              <w:t>2</w:t>
            </w:r>
          </w:p>
        </w:tc>
        <w:tc>
          <w:tcPr>
            <w:tcW w:w="1875" w:type="pct"/>
            <w:vAlign w:val="center"/>
          </w:tcPr>
          <w:p>
            <w:pPr>
              <w:adjustRightInd w:val="0"/>
              <w:snapToGrid w:val="0"/>
              <w:jc w:val="center"/>
            </w:pPr>
            <w:r>
              <w:t>志贺氏菌</w:t>
            </w:r>
            <w:r>
              <w:rPr>
                <w:rFonts w:hint="eastAsia"/>
                <w:vertAlign w:val="superscript"/>
              </w:rPr>
              <w:t>a</w:t>
            </w:r>
          </w:p>
        </w:tc>
        <w:tc>
          <w:tcPr>
            <w:tcW w:w="2199" w:type="pct"/>
            <w:vAlign w:val="center"/>
          </w:tcPr>
          <w:p>
            <w:pPr>
              <w:adjustRightInd w:val="0"/>
              <w:snapToGrid w:val="0"/>
              <w:jc w:val="center"/>
            </w:pPr>
            <w:r>
              <w:t>GB 4789.5</w:t>
            </w:r>
            <w:r>
              <w:rPr>
                <w:rFonts w:hint="eastAsia"/>
                <w:lang w:eastAsia="zh-CN"/>
              </w:rPr>
              <w:t>—</w:t>
            </w:r>
            <w:r>
              <w:t>2012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26" w:type="pct"/>
            <w:vAlign w:val="center"/>
          </w:tcPr>
          <w:p>
            <w:pPr>
              <w:adjustRightInd w:val="0"/>
              <w:snapToGrid w:val="0"/>
              <w:jc w:val="center"/>
            </w:pPr>
            <w:r>
              <w:rPr>
                <w:rFonts w:hint="eastAsia"/>
              </w:rPr>
              <w:t>1</w:t>
            </w:r>
            <w:r>
              <w:t>3</w:t>
            </w:r>
          </w:p>
        </w:tc>
        <w:tc>
          <w:tcPr>
            <w:tcW w:w="1875" w:type="pct"/>
            <w:vAlign w:val="center"/>
          </w:tcPr>
          <w:p>
            <w:pPr>
              <w:adjustRightInd w:val="0"/>
              <w:snapToGrid w:val="0"/>
              <w:jc w:val="center"/>
            </w:pPr>
            <w:r>
              <w:t>金黄色葡萄球菌</w:t>
            </w:r>
            <w:r>
              <w:rPr>
                <w:rFonts w:hint="eastAsia"/>
                <w:vertAlign w:val="superscript"/>
              </w:rPr>
              <w:t>a</w:t>
            </w:r>
          </w:p>
        </w:tc>
        <w:tc>
          <w:tcPr>
            <w:tcW w:w="2199" w:type="pct"/>
            <w:vAlign w:val="center"/>
          </w:tcPr>
          <w:p>
            <w:pPr>
              <w:adjustRightInd w:val="0"/>
              <w:snapToGrid w:val="0"/>
              <w:jc w:val="center"/>
            </w:pPr>
            <w:r>
              <w:t>GB 4789.10</w:t>
            </w:r>
            <w:r>
              <w:rPr>
                <w:rFonts w:hint="eastAsia"/>
                <w:lang w:eastAsia="zh-CN"/>
              </w:rPr>
              <w:t>—</w:t>
            </w:r>
            <w:r>
              <w:t>2016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26" w:type="pct"/>
            <w:vAlign w:val="center"/>
          </w:tcPr>
          <w:p>
            <w:pPr>
              <w:adjustRightInd w:val="0"/>
              <w:snapToGrid w:val="0"/>
              <w:jc w:val="center"/>
            </w:pPr>
            <w:r>
              <w:rPr>
                <w:rFonts w:hint="eastAsia"/>
              </w:rPr>
              <w:t>1</w:t>
            </w:r>
            <w:r>
              <w:t>4</w:t>
            </w:r>
          </w:p>
        </w:tc>
        <w:tc>
          <w:tcPr>
            <w:tcW w:w="1875" w:type="pct"/>
            <w:vAlign w:val="center"/>
          </w:tcPr>
          <w:p>
            <w:pPr>
              <w:adjustRightInd w:val="0"/>
              <w:snapToGrid w:val="0"/>
              <w:jc w:val="center"/>
            </w:pPr>
            <w:r>
              <w:t>溶血性链球菌</w:t>
            </w:r>
            <w:r>
              <w:rPr>
                <w:rFonts w:hint="eastAsia"/>
                <w:vertAlign w:val="superscript"/>
              </w:rPr>
              <w:t>a</w:t>
            </w:r>
          </w:p>
        </w:tc>
        <w:tc>
          <w:tcPr>
            <w:tcW w:w="2199" w:type="pct"/>
            <w:vAlign w:val="center"/>
          </w:tcPr>
          <w:p>
            <w:pPr>
              <w:adjustRightInd w:val="0"/>
              <w:snapToGrid w:val="0"/>
              <w:jc w:val="center"/>
            </w:pPr>
            <w:r>
              <w:t>GB 4789.11</w:t>
            </w:r>
            <w:r>
              <w:rPr>
                <w:rFonts w:hint="eastAsia"/>
                <w:lang w:eastAsia="zh-CN"/>
              </w:rPr>
              <w:t>—</w:t>
            </w:r>
            <w:r>
              <w:t>2014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26" w:type="pct"/>
            <w:vAlign w:val="center"/>
          </w:tcPr>
          <w:p>
            <w:pPr>
              <w:adjustRightInd w:val="0"/>
              <w:snapToGrid w:val="0"/>
              <w:jc w:val="center"/>
            </w:pPr>
            <w:r>
              <w:rPr>
                <w:rFonts w:hint="eastAsia"/>
              </w:rPr>
              <w:t>1</w:t>
            </w:r>
            <w:r>
              <w:t>5</w:t>
            </w:r>
          </w:p>
        </w:tc>
        <w:tc>
          <w:tcPr>
            <w:tcW w:w="1875" w:type="pct"/>
            <w:vAlign w:val="center"/>
          </w:tcPr>
          <w:p>
            <w:pPr>
              <w:adjustRightInd w:val="0"/>
              <w:snapToGrid w:val="0"/>
              <w:jc w:val="center"/>
            </w:pPr>
            <w:r>
              <w:t>霉菌</w:t>
            </w:r>
            <w:r>
              <w:rPr>
                <w:rFonts w:hint="eastAsia"/>
                <w:vertAlign w:val="superscript"/>
              </w:rPr>
              <w:t>a</w:t>
            </w:r>
          </w:p>
        </w:tc>
        <w:tc>
          <w:tcPr>
            <w:tcW w:w="2199" w:type="pct"/>
            <w:vAlign w:val="center"/>
          </w:tcPr>
          <w:p>
            <w:pPr>
              <w:adjustRightInd w:val="0"/>
              <w:snapToGrid w:val="0"/>
              <w:jc w:val="center"/>
            </w:pPr>
            <w:r>
              <w:t>GB 4789.15</w:t>
            </w:r>
            <w:r>
              <w:rPr>
                <w:rFonts w:hint="eastAsia"/>
                <w:lang w:eastAsia="zh-CN"/>
              </w:rPr>
              <w:t>—</w:t>
            </w:r>
            <w:r>
              <w:t>2016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26" w:type="pct"/>
            <w:vAlign w:val="center"/>
          </w:tcPr>
          <w:p>
            <w:pPr>
              <w:adjustRightInd w:val="0"/>
              <w:snapToGrid w:val="0"/>
              <w:jc w:val="center"/>
            </w:pPr>
            <w:r>
              <w:rPr>
                <w:rFonts w:hint="eastAsia"/>
              </w:rPr>
              <w:t>1</w:t>
            </w:r>
            <w:r>
              <w:t>6</w:t>
            </w:r>
          </w:p>
        </w:tc>
        <w:tc>
          <w:tcPr>
            <w:tcW w:w="1875" w:type="pct"/>
            <w:vAlign w:val="center"/>
          </w:tcPr>
          <w:p>
            <w:pPr>
              <w:adjustRightInd w:val="0"/>
              <w:snapToGrid w:val="0"/>
              <w:jc w:val="center"/>
            </w:pPr>
            <w:r>
              <w:t>噻苯咪唑</w:t>
            </w:r>
            <w:r>
              <w:rPr>
                <w:rFonts w:hint="eastAsia"/>
                <w:vertAlign w:val="superscript"/>
              </w:rPr>
              <w:t>a</w:t>
            </w:r>
          </w:p>
        </w:tc>
        <w:tc>
          <w:tcPr>
            <w:tcW w:w="2199" w:type="pct"/>
            <w:vAlign w:val="center"/>
          </w:tcPr>
          <w:p>
            <w:pPr>
              <w:adjustRightInd w:val="0"/>
              <w:snapToGrid w:val="0"/>
              <w:jc w:val="center"/>
            </w:pPr>
            <w:r>
              <w:t>GB/T 19790.2</w:t>
            </w:r>
            <w:r>
              <w:rPr>
                <w:rFonts w:hint="eastAsia"/>
                <w:lang w:eastAsia="zh-CN"/>
              </w:rPr>
              <w:t>—</w:t>
            </w:r>
            <w:r>
              <w:t>2005</w:t>
            </w:r>
          </w:p>
          <w:p>
            <w:pPr>
              <w:adjustRightInd w:val="0"/>
              <w:snapToGrid w:val="0"/>
              <w:jc w:val="center"/>
            </w:pPr>
            <w:r>
              <w:t>附录B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00" w:type="pct"/>
            <w:gridSpan w:val="3"/>
            <w:vAlign w:val="center"/>
          </w:tcPr>
          <w:p>
            <w:pPr>
              <w:adjustRightInd w:val="0"/>
              <w:snapToGrid w:val="0"/>
              <w:jc w:val="left"/>
              <w:rPr>
                <w:rFonts w:hint="eastAsia"/>
              </w:rPr>
            </w:pPr>
            <w:r>
              <w:rPr>
                <w:rFonts w:hint="eastAsia"/>
              </w:rPr>
              <w:t>注：a</w:t>
            </w:r>
            <w:r>
              <w:t xml:space="preserve"> </w:t>
            </w:r>
            <w:r>
              <w:rPr>
                <w:rFonts w:hint="eastAsia"/>
              </w:rPr>
              <w:t>仅对一次性竹筷产品要求。</w:t>
            </w:r>
          </w:p>
        </w:tc>
      </w:tr>
    </w:tbl>
    <w:p>
      <w:pPr>
        <w:adjustRightInd w:val="0"/>
        <w:snapToGrid w:val="0"/>
        <w:spacing w:line="440" w:lineRule="exact"/>
        <w:ind w:firstLine="420" w:firstLineChars="200"/>
        <w:rPr>
          <w:color w:val="000000"/>
        </w:rPr>
      </w:pPr>
      <w:r>
        <w:rPr>
          <w:color w:val="000000"/>
        </w:rPr>
        <w:t>执行企业标准、团体标准、地方标准的产品，检验项目参照上述内容执行。</w:t>
      </w:r>
      <w:bookmarkEnd w:id="0"/>
    </w:p>
    <w:p>
      <w:pPr>
        <w:snapToGrid w:val="0"/>
        <w:spacing w:line="440" w:lineRule="exact"/>
        <w:ind w:firstLine="359" w:firstLineChars="171"/>
        <w:rPr>
          <w:color w:val="000000"/>
        </w:rPr>
      </w:pPr>
      <w:r>
        <w:rPr>
          <w:color w:val="000000"/>
        </w:rPr>
        <w:t>凡是注日期的文件，其随后所有的修改单（不包括勘误的内容）或修订版不适用于本细则。凡是不注日期的文件，其最新版本适用于本细则。</w:t>
      </w:r>
    </w:p>
    <w:p>
      <w:pPr>
        <w:snapToGrid w:val="0"/>
        <w:spacing w:line="440" w:lineRule="exact"/>
        <w:ind w:firstLine="359" w:firstLineChars="171"/>
        <w:rPr>
          <w:rFonts w:eastAsia="黑体"/>
          <w:color w:val="000000"/>
        </w:rPr>
      </w:pPr>
    </w:p>
    <w:p>
      <w:pPr>
        <w:spacing w:line="360" w:lineRule="auto"/>
        <w:rPr>
          <w:rFonts w:eastAsia="黑体"/>
          <w:color w:val="000000"/>
        </w:rPr>
      </w:pPr>
      <w:r>
        <w:rPr>
          <w:rFonts w:eastAsia="黑体"/>
          <w:color w:val="000000"/>
        </w:rPr>
        <w:t>3 判定规则</w:t>
      </w:r>
    </w:p>
    <w:p>
      <w:pPr>
        <w:snapToGrid w:val="0"/>
        <w:spacing w:line="440" w:lineRule="exact"/>
        <w:rPr>
          <w:color w:val="000000"/>
        </w:rPr>
      </w:pPr>
      <w:r>
        <w:rPr>
          <w:color w:val="000000"/>
        </w:rPr>
        <w:t>3.1依据标准</w:t>
      </w:r>
    </w:p>
    <w:p>
      <w:pPr>
        <w:spacing w:line="440" w:lineRule="exact"/>
        <w:ind w:firstLine="420" w:firstLineChars="200"/>
        <w:rPr>
          <w:color w:val="000000"/>
        </w:rPr>
      </w:pPr>
      <w:r>
        <w:rPr>
          <w:rFonts w:hint="eastAsia"/>
          <w:color w:val="000000"/>
        </w:rPr>
        <w:t>GB</w:t>
      </w:r>
      <w:r>
        <w:rPr>
          <w:color w:val="000000"/>
        </w:rPr>
        <w:t xml:space="preserve"> 4806.12</w:t>
      </w:r>
      <w:r>
        <w:rPr>
          <w:rFonts w:hint="eastAsia"/>
          <w:color w:val="000000"/>
          <w:lang w:eastAsia="zh-CN"/>
        </w:rPr>
        <w:t>—</w:t>
      </w:r>
      <w:r>
        <w:rPr>
          <w:color w:val="000000"/>
        </w:rPr>
        <w:t xml:space="preserve">2022 </w:t>
      </w:r>
      <w:r>
        <w:rPr>
          <w:rFonts w:hint="eastAsia"/>
          <w:color w:val="000000"/>
        </w:rPr>
        <w:t>食品安全国家标准 食品接触用竹木材料及制品</w:t>
      </w:r>
    </w:p>
    <w:p>
      <w:pPr>
        <w:spacing w:line="440" w:lineRule="exact"/>
        <w:ind w:firstLine="420" w:firstLineChars="200"/>
        <w:rPr>
          <w:color w:val="000000"/>
        </w:rPr>
      </w:pPr>
      <w:r>
        <w:rPr>
          <w:rFonts w:hint="eastAsia"/>
          <w:color w:val="000000"/>
        </w:rPr>
        <w:t>GB</w:t>
      </w:r>
      <w:r>
        <w:rPr>
          <w:color w:val="000000"/>
        </w:rPr>
        <w:t xml:space="preserve"> 14934</w:t>
      </w:r>
      <w:r>
        <w:rPr>
          <w:rFonts w:hint="eastAsia"/>
          <w:color w:val="000000"/>
          <w:lang w:eastAsia="zh-CN"/>
        </w:rPr>
        <w:t>—</w:t>
      </w:r>
      <w:r>
        <w:rPr>
          <w:color w:val="000000"/>
        </w:rPr>
        <w:t xml:space="preserve">2016 </w:t>
      </w:r>
      <w:r>
        <w:rPr>
          <w:rFonts w:hint="eastAsia"/>
          <w:color w:val="000000"/>
        </w:rPr>
        <w:t>食品安全国家标准 消毒餐（饮）具</w:t>
      </w:r>
    </w:p>
    <w:p>
      <w:pPr>
        <w:spacing w:line="440" w:lineRule="exact"/>
        <w:ind w:firstLine="420" w:firstLineChars="200"/>
        <w:rPr>
          <w:color w:val="000000"/>
        </w:rPr>
      </w:pPr>
      <w:r>
        <w:rPr>
          <w:color w:val="000000"/>
        </w:rPr>
        <w:t>GB/T 19790.2</w:t>
      </w:r>
      <w:r>
        <w:rPr>
          <w:rFonts w:hint="eastAsia"/>
          <w:color w:val="000000"/>
          <w:lang w:eastAsia="zh-CN"/>
        </w:rPr>
        <w:t>—</w:t>
      </w:r>
      <w:r>
        <w:rPr>
          <w:color w:val="000000"/>
        </w:rPr>
        <w:t>2005一次性筷子 第2部分：竹筷</w:t>
      </w:r>
    </w:p>
    <w:p>
      <w:pPr>
        <w:snapToGrid w:val="0"/>
        <w:spacing w:line="440" w:lineRule="exact"/>
        <w:ind w:firstLine="420" w:firstLineChars="200"/>
        <w:rPr>
          <w:color w:val="000000"/>
        </w:rPr>
      </w:pPr>
      <w:r>
        <w:rPr>
          <w:color w:val="000000"/>
        </w:rPr>
        <w:t>现行有效的企业标准、团体标准、地方标准及产品明示质量要求</w:t>
      </w:r>
    </w:p>
    <w:p>
      <w:pPr>
        <w:snapToGrid w:val="0"/>
        <w:spacing w:line="440" w:lineRule="exact"/>
        <w:outlineLvl w:val="0"/>
        <w:rPr>
          <w:color w:val="000000"/>
        </w:rPr>
      </w:pPr>
      <w:r>
        <w:rPr>
          <w:color w:val="000000"/>
        </w:rPr>
        <w:t>3.2判定原则</w:t>
      </w:r>
    </w:p>
    <w:p>
      <w:pPr>
        <w:snapToGrid w:val="0"/>
        <w:spacing w:line="440" w:lineRule="exact"/>
        <w:ind w:firstLine="420" w:firstLineChars="200"/>
        <w:rPr>
          <w:color w:val="000000"/>
        </w:rPr>
      </w:pPr>
      <w:r>
        <w:rPr>
          <w:color w:val="000000"/>
        </w:rPr>
        <w:t>经检验，检验项目全部合格，判定为被抽查产品</w:t>
      </w:r>
      <w:r>
        <w:rPr>
          <w:rFonts w:hint="eastAsia"/>
          <w:color w:val="000000"/>
        </w:rPr>
        <w:t>所检项目未发现不</w:t>
      </w:r>
      <w:r>
        <w:rPr>
          <w:color w:val="000000"/>
        </w:rPr>
        <w:t>合格；检验项目中任一项或一项以上不合格，判定为被抽查产品不合格。</w:t>
      </w:r>
    </w:p>
    <w:p>
      <w:pPr>
        <w:snapToGrid w:val="0"/>
        <w:spacing w:line="440" w:lineRule="exact"/>
        <w:ind w:firstLine="417" w:firstLineChars="199"/>
        <w:rPr>
          <w:color w:val="000000"/>
        </w:rPr>
      </w:pPr>
      <w:r>
        <w:rPr>
          <w:color w:val="000000"/>
        </w:rPr>
        <w:t>若被检产品明示的质量要求高于本细则中检验项目依据的标准要求时，应按被检产品明示的质量要求判定。</w:t>
      </w:r>
    </w:p>
    <w:p>
      <w:pPr>
        <w:snapToGrid w:val="0"/>
        <w:spacing w:line="440" w:lineRule="exact"/>
        <w:ind w:firstLine="417" w:firstLineChars="199"/>
        <w:rPr>
          <w:color w:val="000000"/>
        </w:rPr>
      </w:pPr>
      <w:r>
        <w:rPr>
          <w:color w:val="000000"/>
        </w:rPr>
        <w:t>若被检产品明示的质量要求低于本细则中检验项目依据的强制性标准要求时，应按照强制性标准要求判定。</w:t>
      </w:r>
    </w:p>
    <w:p>
      <w:pPr>
        <w:snapToGrid w:val="0"/>
        <w:spacing w:line="440" w:lineRule="exact"/>
        <w:ind w:firstLine="417" w:firstLineChars="199"/>
        <w:rPr>
          <w:color w:val="000000"/>
        </w:rPr>
      </w:pPr>
      <w:r>
        <w:rPr>
          <w:color w:val="000000"/>
        </w:rPr>
        <w:t>若被检产品明示的质量要求低于或包含本细则中检验项目依据的推荐性标准要求时，应以被检产品明示的质量要求判定。</w:t>
      </w:r>
    </w:p>
    <w:p>
      <w:pPr>
        <w:snapToGrid w:val="0"/>
        <w:spacing w:line="440" w:lineRule="exact"/>
        <w:ind w:firstLine="417" w:firstLineChars="199"/>
      </w:pPr>
      <w:r>
        <w:t>若被检产品明示的质量要求缺少本细则中检验项目依据的强制性标准要求时，应按照强制性标准要求判定。</w:t>
      </w:r>
    </w:p>
    <w:p>
      <w:pPr>
        <w:snapToGrid w:val="0"/>
        <w:spacing w:line="440" w:lineRule="exact"/>
        <w:ind w:firstLine="417" w:firstLineChars="199"/>
      </w:pPr>
      <w:r>
        <w:t>若被检产品明示的质量要求缺少本细则中检验项目依据的推荐性标准要求时，该项目不参与判定。依据卫健委“卫监督发[2005]515号”《健康相关产品国家卫生监督抽检规定》第十九条“产品微生物指标超标的不予复检” 及GB 4789.1</w:t>
      </w:r>
      <w:r>
        <w:rPr>
          <w:rFonts w:hint="eastAsia"/>
          <w:lang w:eastAsia="zh-CN"/>
        </w:rPr>
        <w:t>—</w:t>
      </w:r>
      <w:r>
        <w:t>2016 《食品安全国家标准 食品微生物学检验 总则》第7.3条“检验结果报告后，剩余样品和同批产品不进行微生物项目的复检”的规定，微生物项目（大肠菌群、沙门氏菌、志贺氏菌、金黄色葡萄球菌、溶血性链球菌、霉菌）不合格</w:t>
      </w:r>
      <w:r>
        <w:rPr>
          <w:rFonts w:hint="eastAsia"/>
        </w:rPr>
        <w:t>不进行</w:t>
      </w:r>
      <w:r>
        <w:t>复检。</w:t>
      </w:r>
    </w:p>
    <w:p>
      <w:pPr>
        <w:snapToGrid w:val="0"/>
        <w:spacing w:line="440" w:lineRule="exact"/>
        <w:ind w:firstLine="417" w:firstLineChars="199"/>
      </w:pPr>
    </w:p>
    <w:p>
      <w:pPr>
        <w:spacing w:line="440" w:lineRule="exact"/>
        <w:rPr>
          <w:color w:val="FF0000"/>
        </w:rPr>
      </w:pPr>
    </w:p>
    <w:p>
      <w:pPr>
        <w:spacing w:line="440" w:lineRule="exact"/>
        <w:rPr>
          <w:rFonts w:eastAsia="黑体"/>
          <w:color w:val="000000"/>
        </w:rPr>
      </w:pPr>
      <w:r>
        <w:rPr>
          <w:rFonts w:hint="eastAsia" w:eastAsia="黑体"/>
          <w:color w:val="000000"/>
        </w:rPr>
        <w:t>4 附则</w:t>
      </w:r>
    </w:p>
    <w:p>
      <w:pPr>
        <w:spacing w:line="440" w:lineRule="exact"/>
        <w:ind w:firstLine="420" w:firstLineChars="200"/>
        <w:rPr>
          <w:color w:val="000000"/>
        </w:rPr>
      </w:pPr>
      <w:r>
        <w:rPr>
          <w:rFonts w:hint="eastAsia"/>
          <w:color w:val="000000"/>
        </w:rPr>
        <w:t>本细则首次发布。</w:t>
      </w:r>
    </w:p>
    <w:p>
      <w:pPr>
        <w:snapToGrid w:val="0"/>
        <w:spacing w:line="440" w:lineRule="exact"/>
        <w:ind w:firstLine="417" w:firstLineChars="199"/>
      </w:pPr>
    </w:p>
    <w:sectPr>
      <w:footerReference r:id="rId3" w:type="default"/>
      <w:pgSz w:w="11906" w:h="16838"/>
      <w:pgMar w:top="1985" w:right="1474" w:bottom="1644" w:left="1474" w:header="851" w:footer="1191"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9B25F438-0739-4004-91AD-CFF1A279EE0F}"/>
  </w:font>
  <w:font w:name="Arial">
    <w:panose1 w:val="020B0604020202020204"/>
    <w:charset w:val="01"/>
    <w:family w:val="swiss"/>
    <w:pitch w:val="default"/>
    <w:sig w:usb0="E0002EFF" w:usb1="C000785B" w:usb2="00000009" w:usb3="00000000" w:csb0="400001FF" w:csb1="FFFF0000"/>
    <w:embedRegular r:id="rId2" w:fontKey="{68E1276C-A18D-4B18-AFB9-F0EB4087F305}"/>
  </w:font>
  <w:font w:name="黑体">
    <w:panose1 w:val="02010609060101010101"/>
    <w:charset w:val="86"/>
    <w:family w:val="auto"/>
    <w:pitch w:val="default"/>
    <w:sig w:usb0="800002BF" w:usb1="38CF7CFA" w:usb2="00000016" w:usb3="00000000" w:csb0="00040001" w:csb1="00000000"/>
    <w:embedRegular r:id="rId3" w:fontKey="{30D733B6-FCAB-4442-BADD-4B89096F3764}"/>
  </w:font>
  <w:font w:name="Courier New">
    <w:panose1 w:val="02070309020205020404"/>
    <w:charset w:val="01"/>
    <w:family w:val="modern"/>
    <w:pitch w:val="default"/>
    <w:sig w:usb0="E0002EFF" w:usb1="C0007843" w:usb2="00000009" w:usb3="00000000" w:csb0="400001FF" w:csb1="FFFF0000"/>
    <w:embedRegular r:id="rId4" w:fontKey="{76871FEB-5B98-42DC-87E0-DB0AFBF7C803}"/>
  </w:font>
  <w:font w:name="Symbol">
    <w:panose1 w:val="05050102010706020507"/>
    <w:charset w:val="02"/>
    <w:family w:val="roman"/>
    <w:pitch w:val="default"/>
    <w:sig w:usb0="00000000" w:usb1="00000000" w:usb2="00000000" w:usb3="00000000" w:csb0="80000000" w:csb1="00000000"/>
    <w:embedRegular r:id="rId5" w:fontKey="{7EC2C2DF-8EEB-45C3-87FF-B976C2033107}"/>
  </w:font>
  <w:font w:name="Calibri">
    <w:panose1 w:val="020F0502020204030204"/>
    <w:charset w:val="00"/>
    <w:family w:val="swiss"/>
    <w:pitch w:val="default"/>
    <w:sig w:usb0="E4002EFF" w:usb1="C000247B" w:usb2="00000009" w:usb3="00000000" w:csb0="200001FF" w:csb1="00000000"/>
    <w:embedRegular r:id="rId6" w:fontKey="{FD09CC1E-04FD-4CBC-9D41-8DACCF0DDE2C}"/>
  </w:font>
  <w:font w:name="方正小标宋简体">
    <w:panose1 w:val="02010601030101010101"/>
    <w:charset w:val="86"/>
    <w:family w:val="script"/>
    <w:pitch w:val="default"/>
    <w:sig w:usb0="00000001" w:usb1="080E0000" w:usb2="00000000" w:usb3="00000000" w:csb0="00040000" w:csb1="00000000"/>
  </w:font>
  <w:font w:name="方正仿宋简体">
    <w:panose1 w:val="02010601030101010101"/>
    <w:charset w:val="86"/>
    <w:family w:val="script"/>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jc w:val="center"/>
    </w:pPr>
    <w:r>
      <w:fldChar w:fldCharType="begin"/>
    </w:r>
    <w:r>
      <w:instrText xml:space="preserve">PAGE   \* MERGEFORMAT</w:instrText>
    </w:r>
    <w:r>
      <w:fldChar w:fldCharType="separate"/>
    </w:r>
    <w:r>
      <w:rPr>
        <w:lang w:val="zh-CN"/>
      </w:rPr>
      <w:t>2</w:t>
    </w:r>
    <w:r>
      <w:fldChar w:fldCharType="end"/>
    </w:r>
  </w:p>
  <w:p>
    <w:pPr>
      <w:pStyle w:val="6"/>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TrueTypeFonts/>
  <w:bordersDoNotSurroundHeader w:val="1"/>
  <w:bordersDoNotSurroundFooter w:val="1"/>
  <w:doNotTrackMoves/>
  <w:trackRevisions w:val="1"/>
  <w:documentProtection w:enforcement="0"/>
  <w:defaultTabStop w:val="42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NDRmZDlmMjdkNDI1NjEzMmI2Y2M4ZTAxODQ5YmJlMTYifQ=="/>
  </w:docVars>
  <w:rsids>
    <w:rsidRoot w:val="009954B1"/>
    <w:rsid w:val="00030F25"/>
    <w:rsid w:val="00041658"/>
    <w:rsid w:val="000B05DF"/>
    <w:rsid w:val="000C5D6C"/>
    <w:rsid w:val="000D5A97"/>
    <w:rsid w:val="0010212D"/>
    <w:rsid w:val="00111574"/>
    <w:rsid w:val="0011690E"/>
    <w:rsid w:val="0011703D"/>
    <w:rsid w:val="00155417"/>
    <w:rsid w:val="001C3D96"/>
    <w:rsid w:val="001D49AC"/>
    <w:rsid w:val="001E0DA4"/>
    <w:rsid w:val="001F327F"/>
    <w:rsid w:val="002F068F"/>
    <w:rsid w:val="003279C2"/>
    <w:rsid w:val="0038243E"/>
    <w:rsid w:val="00383411"/>
    <w:rsid w:val="003C39A2"/>
    <w:rsid w:val="003C48EB"/>
    <w:rsid w:val="003D59AE"/>
    <w:rsid w:val="004629D8"/>
    <w:rsid w:val="004949C4"/>
    <w:rsid w:val="004A7E64"/>
    <w:rsid w:val="004C21C1"/>
    <w:rsid w:val="004D567B"/>
    <w:rsid w:val="0050794E"/>
    <w:rsid w:val="00524B4D"/>
    <w:rsid w:val="00590E7F"/>
    <w:rsid w:val="005A79B0"/>
    <w:rsid w:val="0060250D"/>
    <w:rsid w:val="00676F40"/>
    <w:rsid w:val="006C4624"/>
    <w:rsid w:val="006D5E0A"/>
    <w:rsid w:val="006F5936"/>
    <w:rsid w:val="007738E2"/>
    <w:rsid w:val="007D369E"/>
    <w:rsid w:val="007F3B9E"/>
    <w:rsid w:val="00884C2A"/>
    <w:rsid w:val="0089439E"/>
    <w:rsid w:val="008D3D04"/>
    <w:rsid w:val="00903030"/>
    <w:rsid w:val="009374B8"/>
    <w:rsid w:val="009523AB"/>
    <w:rsid w:val="009954B1"/>
    <w:rsid w:val="009C0EFE"/>
    <w:rsid w:val="00A00229"/>
    <w:rsid w:val="00A005D1"/>
    <w:rsid w:val="00A2328A"/>
    <w:rsid w:val="00AB42D2"/>
    <w:rsid w:val="00AB5C6A"/>
    <w:rsid w:val="00AD12CB"/>
    <w:rsid w:val="00AD464A"/>
    <w:rsid w:val="00AF0C20"/>
    <w:rsid w:val="00B21F32"/>
    <w:rsid w:val="00BB0FE3"/>
    <w:rsid w:val="00BD24F3"/>
    <w:rsid w:val="00BD42C5"/>
    <w:rsid w:val="00BD721B"/>
    <w:rsid w:val="00C761FF"/>
    <w:rsid w:val="00C87527"/>
    <w:rsid w:val="00C97AB7"/>
    <w:rsid w:val="00CB4A9D"/>
    <w:rsid w:val="00CC6ED6"/>
    <w:rsid w:val="00D566B9"/>
    <w:rsid w:val="00D70BB6"/>
    <w:rsid w:val="00DB6744"/>
    <w:rsid w:val="00DD6278"/>
    <w:rsid w:val="00DE77CC"/>
    <w:rsid w:val="00E11E68"/>
    <w:rsid w:val="00E3137C"/>
    <w:rsid w:val="00E62773"/>
    <w:rsid w:val="00EC3875"/>
    <w:rsid w:val="00EC5FAE"/>
    <w:rsid w:val="00F011AE"/>
    <w:rsid w:val="00F06CE9"/>
    <w:rsid w:val="00FC64D4"/>
    <w:rsid w:val="130F6129"/>
    <w:rsid w:val="23E267C3"/>
    <w:rsid w:val="2D1369B9"/>
    <w:rsid w:val="2E880CF1"/>
    <w:rsid w:val="321553F2"/>
    <w:rsid w:val="36797AD8"/>
    <w:rsid w:val="47113D05"/>
    <w:rsid w:val="509E67AB"/>
    <w:rsid w:val="5542156E"/>
    <w:rsid w:val="5DDC4E44"/>
    <w:rsid w:val="6DF7156D"/>
    <w:rsid w:val="73F24AFF"/>
    <w:rsid w:val="78442A50"/>
    <w:rsid w:val="7A0658EE"/>
    <w:rsid w:val="7E367274"/>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ocked="1"/>
    <w:lsdException w:qFormat="1" w:uiPriority="9" w:name="heading 2" w:locked="1"/>
    <w:lsdException w:qFormat="1" w:uiPriority="9" w:name="heading 3" w:locked="1"/>
    <w:lsdException w:qFormat="1" w:uiPriority="9" w:name="heading 4" w:locked="1"/>
    <w:lsdException w:qFormat="1" w:uiPriority="9" w:name="heading 5" w:locked="1"/>
    <w:lsdException w:qFormat="1" w:uiPriority="9" w:name="heading 6" w:locked="1"/>
    <w:lsdException w:qFormat="1" w:uiPriority="9" w:name="heading 7" w:locked="1"/>
    <w:lsdException w:qFormat="1" w:uiPriority="9" w:name="heading 8" w:locked="1"/>
    <w:lsdException w:qFormat="1" w:uiPriority="9" w:name="heading 9" w:locked="1"/>
    <w:lsdException w:uiPriority="99" w:name="index 1" w:locked="1"/>
    <w:lsdException w:uiPriority="99" w:name="index 2" w:locked="1"/>
    <w:lsdException w:uiPriority="99" w:name="index 3" w:locked="1"/>
    <w:lsdException w:uiPriority="99" w:name="index 4" w:locked="1"/>
    <w:lsdException w:uiPriority="99" w:name="index 5" w:locked="1"/>
    <w:lsdException w:uiPriority="99" w:name="index 6" w:locked="1"/>
    <w:lsdException w:uiPriority="99" w:name="index 7" w:locked="1"/>
    <w:lsdException w:uiPriority="99" w:name="index 8" w:locked="1"/>
    <w:lsdException w:uiPriority="99" w:name="index 9" w:locked="1"/>
    <w:lsdException w:uiPriority="39" w:name="toc 1" w:locked="1"/>
    <w:lsdException w:uiPriority="39" w:name="toc 2" w:locked="1"/>
    <w:lsdException w:uiPriority="39" w:name="toc 3" w:locked="1"/>
    <w:lsdException w:uiPriority="39" w:name="toc 4" w:locked="1"/>
    <w:lsdException w:uiPriority="39" w:name="toc 5" w:locked="1"/>
    <w:lsdException w:uiPriority="39" w:name="toc 6" w:locked="1"/>
    <w:lsdException w:uiPriority="39" w:name="toc 7" w:locked="1"/>
    <w:lsdException w:uiPriority="39" w:name="toc 8" w:locked="1"/>
    <w:lsdException w:uiPriority="39" w:name="toc 9" w:locked="1"/>
    <w:lsdException w:uiPriority="99" w:name="Normal Indent" w:locked="1"/>
    <w:lsdException w:uiPriority="99" w:name="footnote text" w:locked="1"/>
    <w:lsdException w:uiPriority="99" w:name="annotation text" w:locked="1"/>
    <w:lsdException w:qFormat="1" w:unhideWhenUsed="0" w:uiPriority="99" w:semiHidden="0" w:name="header"/>
    <w:lsdException w:unhideWhenUsed="0" w:uiPriority="99" w:semiHidden="0" w:name="footer"/>
    <w:lsdException w:uiPriority="99" w:name="index heading" w:locked="1"/>
    <w:lsdException w:qFormat="1" w:uiPriority="35" w:name="caption" w:locked="1"/>
    <w:lsdException w:uiPriority="99" w:name="table of figures" w:locked="1"/>
    <w:lsdException w:uiPriority="99" w:name="envelope address" w:locked="1"/>
    <w:lsdException w:uiPriority="99" w:name="envelope return" w:locked="1"/>
    <w:lsdException w:uiPriority="99" w:name="footnote reference" w:locked="1"/>
    <w:lsdException w:qFormat="1" w:uiPriority="99" w:name="annotation reference" w:locked="1"/>
    <w:lsdException w:uiPriority="99" w:name="line number" w:locked="1"/>
    <w:lsdException w:uiPriority="99" w:name="page number" w:locked="1"/>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uiPriority="99" w:name="List" w:locked="1"/>
    <w:lsdException w:uiPriority="99" w:name="List Bullet" w:locked="1"/>
    <w:lsdException w:uiPriority="99" w:name="List Number" w:locked="1"/>
    <w:lsdException w:uiPriority="99" w:name="List 2" w:locked="1"/>
    <w:lsdException w:uiPriority="99" w:name="List 3" w:locked="1"/>
    <w:lsdException w:uiPriority="99" w:name="List 4" w:locked="1"/>
    <w:lsdException w:uiPriority="99" w:name="List 5" w:locked="1"/>
    <w:lsdException w:uiPriority="99" w:name="List Bullet 2" w:locked="1"/>
    <w:lsdException w:uiPriority="99" w:name="List Bullet 3" w:locked="1"/>
    <w:lsdException w:uiPriority="99" w:name="List Bullet 4" w:locked="1"/>
    <w:lsdException w:uiPriority="99" w:name="List Bullet 5" w:locked="1"/>
    <w:lsdException w:uiPriority="99" w:name="List Number 2" w:locked="1"/>
    <w:lsdException w:uiPriority="99" w:name="List Number 3" w:locked="1"/>
    <w:lsdException w:uiPriority="99" w:name="List Number 4" w:locked="1"/>
    <w:lsdException w:uiPriority="99" w:name="List Number 5" w:locked="1"/>
    <w:lsdException w:qFormat="1" w:unhideWhenUsed="0" w:uiPriority="10" w:semiHidden="0" w:name="Title" w:locked="1"/>
    <w:lsdException w:uiPriority="99" w:name="Closing" w:locked="1"/>
    <w:lsdException w:uiPriority="99" w:name="Signature" w:locked="1"/>
    <w:lsdException w:qFormat="1" w:uiPriority="1" w:name="Default Paragraph Font"/>
    <w:lsdException w:qFormat="1" w:unhideWhenUsed="0" w:uiPriority="99" w:semiHidden="0" w:name="Body Text"/>
    <w:lsdException w:uiPriority="99" w:name="Body Text Indent" w:locked="1"/>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11" w:semiHidden="0" w:name="Subtitle" w:locked="1"/>
    <w:lsdException w:uiPriority="99" w:name="Salutation" w:locked="1"/>
    <w:lsdException w:uiPriority="99" w:name="Date" w:locked="1"/>
    <w:lsdException w:uiPriority="99" w:name="Body Text First Indent" w:locked="1"/>
    <w:lsdException w:uiPriority="99" w:name="Body Text First Indent 2" w:locked="1"/>
    <w:lsdException w:uiPriority="99" w:name="Note Heading" w:locked="1"/>
    <w:lsdException w:uiPriority="99" w:name="Body Text 2" w:locked="1"/>
    <w:lsdException w:uiPriority="99" w:name="Body Text 3" w:locked="1"/>
    <w:lsdException w:uiPriority="99" w:name="Body Text Indent 2" w:locked="1"/>
    <w:lsdException w:uiPriority="99" w:name="Body Text Indent 3" w:locked="1"/>
    <w:lsdException w:uiPriority="99" w:name="Block Text" w:locked="1"/>
    <w:lsdException w:uiPriority="99" w:name="Hyperlink" w:locked="1"/>
    <w:lsdException w:uiPriority="99" w:name="FollowedHyperlink" w:locked="1"/>
    <w:lsdException w:qFormat="1" w:unhideWhenUsed="0" w:uiPriority="22" w:semiHidden="0" w:name="Strong" w:locked="1"/>
    <w:lsdException w:qFormat="1" w:unhideWhenUsed="0" w:uiPriority="20" w:semiHidden="0" w:name="Emphasis" w:locked="1"/>
    <w:lsdException w:qFormat="1" w:unhideWhenUsed="0" w:uiPriority="99" w:name="Document Map" w:locked="1"/>
    <w:lsdException w:uiPriority="99" w:name="Plain Text" w:locked="1"/>
    <w:lsdException w:uiPriority="99" w:name="E-mail Signature" w:locked="1"/>
    <w:lsdException w:uiPriority="99" w:name="Normal (Web)" w:locked="1"/>
    <w:lsdException w:uiPriority="99" w:name="HTML Acronym" w:locked="1"/>
    <w:lsdException w:uiPriority="99" w:name="HTML Address" w:locked="1"/>
    <w:lsdException w:uiPriority="99" w:name="HTML Cite" w:locked="1"/>
    <w:lsdException w:uiPriority="99" w:name="HTML Code" w:locked="1"/>
    <w:lsdException w:uiPriority="99" w:name="HTML Definition" w:locked="1"/>
    <w:lsdException w:uiPriority="99" w:name="HTML Keyboard" w:locked="1"/>
    <w:lsdException w:uiPriority="99" w:name="HTML Preformatted" w:locked="1"/>
    <w:lsdException w:uiPriority="99" w:name="HTML Sample" w:locked="1"/>
    <w:lsdException w:uiPriority="99" w:name="HTML Typewriter" w:locked="1"/>
    <w:lsdException w:uiPriority="99" w:name="HTML Variable" w:locked="1"/>
    <w:lsdException w:uiPriority="99" w:name="Normal Table"/>
    <w:lsdException w:qFormat="1" w:uiPriority="99" w:name="annotation subject" w:locked="1"/>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uiPriority="99" w:name="Table Columns 1" w:locked="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uiPriority="99" w:name="Table List 3" w:locked="1"/>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99" w:name="Balloon Text"/>
    <w:lsdException w:unhideWhenUsed="0" w:uiPriority="59" w:semiHidden="0" w:name="Table Grid" w:locked="1"/>
    <w:lsdException w:uiPriority="99"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1"/>
      <w:lang w:val="en-US" w:eastAsia="zh-CN" w:bidi="ar-SA"/>
    </w:rPr>
  </w:style>
  <w:style w:type="character" w:default="1" w:styleId="10">
    <w:name w:val="Default Paragraph Font"/>
    <w:semiHidden/>
    <w:unhideWhenUsed/>
    <w:qFormat/>
    <w:uiPriority w:val="1"/>
  </w:style>
  <w:style w:type="table" w:default="1" w:styleId="9">
    <w:name w:val="Normal Table"/>
    <w:semiHidden/>
    <w:unhideWhenUsed/>
    <w:uiPriority w:val="99"/>
    <w:tblPr>
      <w:tblCellMar>
        <w:top w:w="0" w:type="dxa"/>
        <w:left w:w="108" w:type="dxa"/>
        <w:bottom w:w="0" w:type="dxa"/>
        <w:right w:w="108" w:type="dxa"/>
      </w:tblCellMar>
    </w:tblPr>
  </w:style>
  <w:style w:type="paragraph" w:styleId="2">
    <w:name w:val="Document Map"/>
    <w:basedOn w:val="1"/>
    <w:link w:val="16"/>
    <w:semiHidden/>
    <w:qFormat/>
    <w:locked/>
    <w:uiPriority w:val="99"/>
    <w:pPr>
      <w:shd w:val="clear" w:color="auto" w:fill="000080"/>
    </w:pPr>
    <w:rPr>
      <w:kern w:val="0"/>
      <w:sz w:val="0"/>
      <w:szCs w:val="0"/>
    </w:rPr>
  </w:style>
  <w:style w:type="paragraph" w:styleId="3">
    <w:name w:val="annotation text"/>
    <w:basedOn w:val="1"/>
    <w:link w:val="17"/>
    <w:semiHidden/>
    <w:unhideWhenUsed/>
    <w:locked/>
    <w:uiPriority w:val="99"/>
    <w:pPr>
      <w:jc w:val="left"/>
    </w:pPr>
  </w:style>
  <w:style w:type="paragraph" w:styleId="4">
    <w:name w:val="Body Text"/>
    <w:basedOn w:val="1"/>
    <w:link w:val="12"/>
    <w:qFormat/>
    <w:uiPriority w:val="99"/>
    <w:pPr>
      <w:spacing w:before="166"/>
      <w:ind w:left="101"/>
    </w:pPr>
    <w:rPr>
      <w:kern w:val="0"/>
    </w:rPr>
  </w:style>
  <w:style w:type="paragraph" w:styleId="5">
    <w:name w:val="Balloon Text"/>
    <w:basedOn w:val="1"/>
    <w:link w:val="15"/>
    <w:semiHidden/>
    <w:qFormat/>
    <w:uiPriority w:val="99"/>
    <w:rPr>
      <w:sz w:val="18"/>
      <w:szCs w:val="18"/>
    </w:rPr>
  </w:style>
  <w:style w:type="paragraph" w:styleId="6">
    <w:name w:val="footer"/>
    <w:basedOn w:val="1"/>
    <w:link w:val="14"/>
    <w:uiPriority w:val="99"/>
    <w:pPr>
      <w:tabs>
        <w:tab w:val="center" w:pos="4153"/>
        <w:tab w:val="right" w:pos="8306"/>
      </w:tabs>
      <w:snapToGrid w:val="0"/>
      <w:jc w:val="left"/>
    </w:pPr>
    <w:rPr>
      <w:sz w:val="18"/>
      <w:szCs w:val="18"/>
    </w:rPr>
  </w:style>
  <w:style w:type="paragraph" w:styleId="7">
    <w:name w:val="header"/>
    <w:basedOn w:val="1"/>
    <w:link w:val="13"/>
    <w:qFormat/>
    <w:uiPriority w:val="99"/>
    <w:pPr>
      <w:pBdr>
        <w:bottom w:val="single" w:color="auto" w:sz="6" w:space="1"/>
      </w:pBdr>
      <w:tabs>
        <w:tab w:val="center" w:pos="4153"/>
        <w:tab w:val="right" w:pos="8306"/>
      </w:tabs>
      <w:snapToGrid w:val="0"/>
      <w:jc w:val="center"/>
    </w:pPr>
    <w:rPr>
      <w:sz w:val="18"/>
      <w:szCs w:val="18"/>
    </w:rPr>
  </w:style>
  <w:style w:type="paragraph" w:styleId="8">
    <w:name w:val="annotation subject"/>
    <w:basedOn w:val="3"/>
    <w:next w:val="3"/>
    <w:link w:val="18"/>
    <w:semiHidden/>
    <w:unhideWhenUsed/>
    <w:qFormat/>
    <w:locked/>
    <w:uiPriority w:val="99"/>
    <w:rPr>
      <w:b/>
      <w:bCs/>
    </w:rPr>
  </w:style>
  <w:style w:type="character" w:styleId="11">
    <w:name w:val="annotation reference"/>
    <w:semiHidden/>
    <w:unhideWhenUsed/>
    <w:qFormat/>
    <w:locked/>
    <w:uiPriority w:val="99"/>
    <w:rPr>
      <w:sz w:val="21"/>
      <w:szCs w:val="21"/>
    </w:rPr>
  </w:style>
  <w:style w:type="character" w:customStyle="1" w:styleId="12">
    <w:name w:val="正文文本 字符"/>
    <w:link w:val="4"/>
    <w:semiHidden/>
    <w:qFormat/>
    <w:locked/>
    <w:uiPriority w:val="99"/>
    <w:rPr>
      <w:sz w:val="21"/>
      <w:szCs w:val="21"/>
    </w:rPr>
  </w:style>
  <w:style w:type="character" w:customStyle="1" w:styleId="13">
    <w:name w:val="页眉 字符"/>
    <w:link w:val="7"/>
    <w:qFormat/>
    <w:locked/>
    <w:uiPriority w:val="99"/>
    <w:rPr>
      <w:kern w:val="2"/>
      <w:sz w:val="18"/>
      <w:szCs w:val="18"/>
    </w:rPr>
  </w:style>
  <w:style w:type="character" w:customStyle="1" w:styleId="14">
    <w:name w:val="页脚 字符"/>
    <w:link w:val="6"/>
    <w:qFormat/>
    <w:locked/>
    <w:uiPriority w:val="99"/>
    <w:rPr>
      <w:kern w:val="2"/>
      <w:sz w:val="18"/>
      <w:szCs w:val="18"/>
    </w:rPr>
  </w:style>
  <w:style w:type="character" w:customStyle="1" w:styleId="15">
    <w:name w:val="批注框文本 字符"/>
    <w:link w:val="5"/>
    <w:qFormat/>
    <w:locked/>
    <w:uiPriority w:val="99"/>
    <w:rPr>
      <w:kern w:val="2"/>
      <w:sz w:val="18"/>
      <w:szCs w:val="18"/>
    </w:rPr>
  </w:style>
  <w:style w:type="character" w:customStyle="1" w:styleId="16">
    <w:name w:val="文档结构图 字符"/>
    <w:link w:val="2"/>
    <w:semiHidden/>
    <w:qFormat/>
    <w:uiPriority w:val="99"/>
    <w:rPr>
      <w:sz w:val="0"/>
      <w:szCs w:val="0"/>
    </w:rPr>
  </w:style>
  <w:style w:type="character" w:customStyle="1" w:styleId="17">
    <w:name w:val="批注文字 字符"/>
    <w:link w:val="3"/>
    <w:semiHidden/>
    <w:qFormat/>
    <w:uiPriority w:val="99"/>
    <w:rPr>
      <w:kern w:val="2"/>
      <w:sz w:val="21"/>
      <w:szCs w:val="21"/>
    </w:rPr>
  </w:style>
  <w:style w:type="character" w:customStyle="1" w:styleId="18">
    <w:name w:val="批注主题 字符"/>
    <w:link w:val="8"/>
    <w:semiHidden/>
    <w:qFormat/>
    <w:uiPriority w:val="99"/>
    <w:rPr>
      <w:b/>
      <w:bCs/>
      <w:kern w:val="2"/>
      <w:sz w:val="21"/>
      <w:szCs w:val="21"/>
    </w:rPr>
  </w:style>
  <w:style w:type="paragraph" w:customStyle="1" w:styleId="19">
    <w:name w:val="Revision"/>
    <w:hidden/>
    <w:semiHidden/>
    <w:qFormat/>
    <w:uiPriority w:val="99"/>
    <w:rPr>
      <w:rFonts w:ascii="Times New Roman" w:hAnsi="Times New Roman" w:eastAsia="宋体" w:cs="Times New Roman"/>
      <w:kern w:val="2"/>
      <w:sz w:val="21"/>
      <w:szCs w:val="21"/>
      <w:lang w:val="en-US" w:eastAsia="zh-CN" w:bidi="ar-SA"/>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3C8F70-443C-4356-8D2B-E7D7CF29C6D3}">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3</Pages>
  <Words>1036</Words>
  <Characters>1272</Characters>
  <Lines>10</Lines>
  <Paragraphs>2</Paragraphs>
  <TotalTime>34</TotalTime>
  <ScaleCrop>false</ScaleCrop>
  <LinksUpToDate>false</LinksUpToDate>
  <CharactersWithSpaces>1307</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Dell</cp:lastModifiedBy>
  <dcterms:modified xsi:type="dcterms:W3CDTF">2023-02-06T03:23:23Z</dcterms:modified>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KSOSaveFontToCloudKey">
    <vt:lpwstr>550453206_embed</vt:lpwstr>
  </property>
  <property fmtid="{D5CDD505-2E9C-101B-9397-08002B2CF9AE}" pid="4" name="ICV">
    <vt:lpwstr>78540EA8A2644D71A81FC01A6CAB41F2</vt:lpwstr>
  </property>
</Properties>
</file>